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2020 27 vom 25. Januar 2024</w:t>
      </w:r>
    </w:p>
    <w:p>
      <w:r>
        <w:t>GR Gerichte, 2024-01-25, DE</w:t>
      </w:r>
    </w:p>
    <w:p>
      <w:r>
        <w:rPr>
          <w:b/>
        </w:rPr>
        <w:t xml:space="preserve">Quelle: </w:t>
      </w:r>
      <w:r>
        <w:t>https://mcp.opencaselaw.ch/entscheid/gr_gerichte_PVG 2020 27</w:t>
      </w:r>
    </w:p>
    <w:p>
      <w:r>
        <w:t>FR: GR_GERICHTE PVG 2020 27 du 25 janvier 2024</w:t>
      </w:r>
    </w:p>
    <w:p>
      <w:r>
        <w:t>IT: GR_GERICHTE PVG 2020 27 del 25 gennaio 2024</w:t>
      </w:r>
    </w:p>
    <w:p>
      <w:pPr>
        <w:pStyle w:val="Heading2"/>
      </w:pPr>
      <w:r>
        <w:t>Erwägungen</w:t>
      </w:r>
    </w:p>
    <w:p>
      <w:r>
        <w:rPr>
          <w:b/>
        </w:rPr>
        <w:t>E. 3</w:t>
      </w:r>
    </w:p>
    <w:p>
      <w:r>
        <w:t>Aufl., Basel 2014, Art. 2 Rz. 39; Rudin, a.a.O., Art. 2 Rz. 36; Bot- schaft DSG, a.a.O., S. 444). Ausserdem laufe die Datenbearbeitung im Rahmen dieser Register meist nach sehr detaillierten und for- mellen Vorschriften ab, weshalb diese wiederum aus Gründen der Rechtssicherheit nicht durch das Datenschutzgesetz modifiziert werden sollen (Botschaft DSG, a.a.O., S. 444). Im Allgemeinen hat das Datenschutzgesetz Vorrang vor anderen Datenbearbeitungs- vorschriften, weil es als «Querschnittsgesetz» grundsätzlich für alle privaten und öffentlichen Informationstätigkeiten gilt. Wenn aber das Spezialrecht strengere Datenschutznormen oder eine in sich geschlossene Datenschutzkonzeption enthält, gehen diese Be- stimmungen ausnahmsweise jenen des allgemeinen Datenschutz- gesetzes vor. 2.2.3. Im Nachfolgenden wird näher darauf eingegangen, über welche Information die Betreibungs- und Konkursämter ver- fügen resp. ob überhaupt weitere Daten ausser denjenigen in den Registern bei den Betreibungs- und Konkursämtern vorhanden</w:t>
      </w:r>
    </w:p>
    <w:p>
      <w:r>
        <w:t>10/27 Datenschutz PVG 2020 224 sind. Da der Verlauf eines Betreibungs- und Konkursverfahrens stets überblickbar sein muss, sind die Betreibungs- und Konkurs- ämter nach Art. 8 SchKG verpflichtet, über sämtliche Amtsver- richtungen sowie über die eingehenden Begehren und Stellung- nahmen Protokolle bzw. Register zu führen (vgl. PeteR, in: stähelin/ BaueR/stähelin [Hrsg.], in: Basler Kommentar zum Bundesgesetz über Schuldbetreibung und Konkurs I, 2. Aufl., Basel 2010, Art. 8 Rz. 3). Unter den Begriff der Amtstätigkeiten fallen sämtliche durch das Amt getroffenen Vorkehrungen, die in einer hängigen Betrei- bung bzw. in einem laufenden Konkurs getätigt werden. Dies sind bspw. die Aufnahme erlassener Zahlungsbefehle, getätigter Pfän- dungen und der ergangenen Konkurs- und Verwertungsprotokolle. Als Begehren und Erklärungen gelten sämtliche mündlichen und schriftlichen Angaben der Parteien im Zusammenhang mit dem laufenden Betreibungs- und Konkursverfahren (vgl. weinGaRt, in: KRen KostKiewicz/VocK [Hrsg.], Kommentar zum Bundesgesetz über Schuldbetreibung und Konkurs SchKG, 4. Aufl., Zürich/Basel/Genf 2017, Art. 8 Rz. 5 ff.). Somit ergibt sich, dass sämtliche Tätigkeiten des Betreibungs- und Konkursamts in Protokollen bzw. Registern festgehalten werden. Art. 8a Abs. 1 SchKG gewährt den betroffe- nen Personen ein unbeschränktes Recht auf Dateneinsicht, das an keine Voraussetzungen gebunden ist, sofern es sich um Daten han- delt, bei denen es um die eigene Person geht (vgl. Entscheid des Bundesgerichts 7B.189/2005 vom 13. Dezember 2005 E.2.2; PeteR, a.a.O., Art. 8a Rz. 5; weinGaRt, a.a.O., Art. 8a Rz. 8). Das Recht, die Protokolle und Register einzusehen und sich Auszüge daraus ge- ben zu lassen, beinhaltet gemäss bundesgerichtlicher Rechtspre- chung und Lehre auch den Anspruch auf Einsicht in die entspre- chenden Aktenstücke und Belege (BGE 110 III 51; 102 III 62; PeteR, a.a.O., Art. 8a Rz. 15). Hinzu kommt, dass die Lehre Art. 8a SchKG den Anwen- dungsbereich des DSG nicht nur in Bezug auf die öffentlichen Register des Privatrechtsverkehrs ausschliesst, sondern auf den gesamten Bereich der Betreibungs- und Konkursfälle (weinGaRt, a.a.O., Art. 8a Rz. 1). Da die Betreibungs- und Konkursämter über sämtliche Tä- tigkeiten Protokoll bzw. Register führen, deckt das Einsichtsrecht nach Art. 8a SchKG alle Handlungen der Betreibungs- und Kon- kursämter ab. Somit ist das Einsichtsrechts im SchKG, worunter alle Betreibungs- und Konkursfälle fallen, abschliessend geregelt und stellt eine in sich geschlossene Datenschutzkonzeption dar,</w:t>
      </w:r>
    </w:p>
    <w:p>
      <w:r>
        <w:t>10/27 Datenschutz PVG 2020 225 so dass – entgegen der Ansicht des Beschwerdeführers - für das kantonale Datenschutzgesetz und dasjenige des Bundes kein Raum besteht. Somit erübrigen sich sowohl Ausführungen dazu, ob das Betreibungs- und Konkursamt als Erstinstanz im Verwaltungsver- fahren gehandelt hat, als auch zur Frage, in welcher Form die Ak- teneinsicht zu gewähren wäre, da das DSG in casu keinen Anspruch darauf erteilt. Damit ist die Beschwerde abzuweisen. U 20 12 Urteil vom 13. August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